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C3" w:rsidRPr="001F4969" w:rsidRDefault="001802C3" w:rsidP="001802C3">
      <w:pPr>
        <w:jc w:val="center"/>
        <w:rPr>
          <w:b/>
          <w:sz w:val="40"/>
          <w:szCs w:val="40"/>
        </w:rPr>
      </w:pPr>
      <w:r>
        <w:rPr>
          <w:b/>
          <w:sz w:val="40"/>
          <w:szCs w:val="40"/>
        </w:rPr>
        <w:t>Façade Maintenance</w:t>
      </w:r>
      <w:r w:rsidRPr="001F4969">
        <w:rPr>
          <w:b/>
          <w:sz w:val="40"/>
          <w:szCs w:val="40"/>
        </w:rPr>
        <w:t xml:space="preserve"> Working Group</w:t>
      </w:r>
    </w:p>
    <w:p w:rsidR="001802C3" w:rsidRDefault="001802C3" w:rsidP="001802C3">
      <w:pPr>
        <w:jc w:val="center"/>
        <w:rPr>
          <w:b/>
          <w:sz w:val="40"/>
          <w:szCs w:val="40"/>
        </w:rPr>
      </w:pPr>
      <w:r w:rsidRPr="001F4969">
        <w:rPr>
          <w:b/>
          <w:sz w:val="40"/>
          <w:szCs w:val="40"/>
        </w:rPr>
        <w:t>Earthquake Safety Implementation Program</w:t>
      </w:r>
    </w:p>
    <w:p w:rsidR="001802C3" w:rsidRPr="001F4969" w:rsidRDefault="001802C3" w:rsidP="001802C3">
      <w:pPr>
        <w:jc w:val="center"/>
        <w:rPr>
          <w:b/>
        </w:rPr>
      </w:pPr>
      <w:r>
        <w:rPr>
          <w:b/>
        </w:rPr>
        <w:t>AGENDA</w:t>
      </w:r>
    </w:p>
    <w:p w:rsidR="001802C3" w:rsidRDefault="001802C3" w:rsidP="001802C3">
      <w:pPr>
        <w:spacing w:line="240" w:lineRule="auto"/>
        <w:jc w:val="center"/>
      </w:pPr>
      <w:r>
        <w:t>June 28, 2013 - 10:00 AM – 11:30 AM</w:t>
      </w:r>
    </w:p>
    <w:p w:rsidR="001802C3" w:rsidRDefault="001802C3" w:rsidP="001802C3">
      <w:pPr>
        <w:spacing w:line="240" w:lineRule="auto"/>
        <w:jc w:val="center"/>
      </w:pPr>
      <w:r>
        <w:t>The EPICENTER</w:t>
      </w:r>
    </w:p>
    <w:p w:rsidR="001802C3" w:rsidRDefault="001802C3" w:rsidP="001802C3">
      <w:pPr>
        <w:spacing w:line="240" w:lineRule="auto"/>
        <w:jc w:val="center"/>
      </w:pPr>
      <w:r>
        <w:t>245 Third Street</w:t>
      </w:r>
    </w:p>
    <w:p w:rsidR="001802C3" w:rsidRDefault="001802C3" w:rsidP="001802C3">
      <w:pPr>
        <w:spacing w:line="240" w:lineRule="auto"/>
        <w:jc w:val="center"/>
      </w:pPr>
      <w:r>
        <w:t>San Francisco, CA 94102</w:t>
      </w:r>
    </w:p>
    <w:p w:rsidR="001802C3" w:rsidRDefault="001802C3" w:rsidP="001802C3">
      <w:pPr>
        <w:spacing w:line="240" w:lineRule="auto"/>
        <w:jc w:val="center"/>
      </w:pPr>
      <w:r>
        <w:t>Meeting One</w:t>
      </w:r>
    </w:p>
    <w:p w:rsidR="001802C3" w:rsidRDefault="001802C3" w:rsidP="001802C3">
      <w:pPr>
        <w:spacing w:line="240" w:lineRule="auto"/>
        <w:jc w:val="center"/>
      </w:pPr>
      <w:r>
        <w:t>_________________________________</w:t>
      </w:r>
    </w:p>
    <w:p w:rsidR="001802C3" w:rsidRDefault="001802C3" w:rsidP="001802C3">
      <w:pPr>
        <w:spacing w:line="240" w:lineRule="auto"/>
        <w:jc w:val="center"/>
      </w:pPr>
    </w:p>
    <w:p w:rsidR="001802C3" w:rsidRDefault="001802C3" w:rsidP="001802C3">
      <w:pPr>
        <w:spacing w:line="240" w:lineRule="auto"/>
        <w:jc w:val="center"/>
      </w:pPr>
    </w:p>
    <w:p w:rsidR="003F4078" w:rsidRDefault="001802C3" w:rsidP="001802C3">
      <w:pPr>
        <w:pStyle w:val="ListParagraph"/>
        <w:numPr>
          <w:ilvl w:val="0"/>
          <w:numId w:val="1"/>
        </w:numPr>
      </w:pPr>
      <w:r>
        <w:t>Introductions</w:t>
      </w:r>
    </w:p>
    <w:p w:rsidR="001802C3" w:rsidRDefault="001802C3" w:rsidP="001802C3">
      <w:pPr>
        <w:pStyle w:val="ListParagraph"/>
        <w:numPr>
          <w:ilvl w:val="0"/>
          <w:numId w:val="1"/>
        </w:numPr>
      </w:pPr>
      <w:r>
        <w:t>Discussion of Program Framework</w:t>
      </w:r>
    </w:p>
    <w:p w:rsidR="001802C3" w:rsidRDefault="001802C3" w:rsidP="001802C3">
      <w:pPr>
        <w:pStyle w:val="ListParagraph"/>
        <w:numPr>
          <w:ilvl w:val="1"/>
          <w:numId w:val="1"/>
        </w:numPr>
      </w:pPr>
      <w:r>
        <w:t>Should this be an Administrative Bulletin or Ordinance?</w:t>
      </w:r>
    </w:p>
    <w:p w:rsidR="001802C3" w:rsidRDefault="001802C3" w:rsidP="001802C3">
      <w:pPr>
        <w:pStyle w:val="ListParagraph"/>
        <w:numPr>
          <w:ilvl w:val="1"/>
          <w:numId w:val="1"/>
        </w:numPr>
      </w:pPr>
      <w:r>
        <w:t>What is the risk? How do we determine the risk?</w:t>
      </w:r>
    </w:p>
    <w:p w:rsidR="001802C3" w:rsidRDefault="001802C3" w:rsidP="001802C3">
      <w:pPr>
        <w:pStyle w:val="ListParagraph"/>
        <w:numPr>
          <w:ilvl w:val="1"/>
          <w:numId w:val="1"/>
        </w:numPr>
      </w:pPr>
      <w:r>
        <w:t>How do we organize a program? Risk categories or a simple in an out system?</w:t>
      </w:r>
    </w:p>
    <w:p w:rsidR="001802C3" w:rsidRDefault="001802C3" w:rsidP="001802C3">
      <w:pPr>
        <w:pStyle w:val="ListParagraph"/>
        <w:numPr>
          <w:ilvl w:val="1"/>
          <w:numId w:val="1"/>
        </w:numPr>
      </w:pPr>
      <w:r>
        <w:t>Exterior maintenance or façade alone?</w:t>
      </w:r>
    </w:p>
    <w:p w:rsidR="001802C3" w:rsidRDefault="001802C3" w:rsidP="001802C3">
      <w:pPr>
        <w:pStyle w:val="ListParagraph"/>
        <w:numPr>
          <w:ilvl w:val="1"/>
          <w:numId w:val="1"/>
        </w:numPr>
      </w:pPr>
      <w:r>
        <w:t>Other questions?</w:t>
      </w:r>
    </w:p>
    <w:p w:rsidR="001802C3" w:rsidRDefault="001802C3" w:rsidP="001802C3">
      <w:pPr>
        <w:pStyle w:val="ListParagraph"/>
        <w:numPr>
          <w:ilvl w:val="0"/>
          <w:numId w:val="1"/>
        </w:numPr>
      </w:pPr>
      <w:r>
        <w:t xml:space="preserve">Adjourn </w:t>
      </w:r>
    </w:p>
    <w:p w:rsidR="001802C3" w:rsidRDefault="001802C3" w:rsidP="001802C3">
      <w:pPr>
        <w:pStyle w:val="ListParagraph"/>
        <w:numPr>
          <w:ilvl w:val="0"/>
          <w:numId w:val="2"/>
        </w:numPr>
      </w:pPr>
      <w:r>
        <w:t>Set time for next meeting.</w:t>
      </w:r>
    </w:p>
    <w:p w:rsidR="001802C3" w:rsidRDefault="001802C3" w:rsidP="001802C3"/>
    <w:p w:rsidR="001802C3" w:rsidRDefault="001802C3" w:rsidP="001802C3"/>
    <w:p w:rsidR="001802C3" w:rsidRDefault="001802C3" w:rsidP="001802C3"/>
    <w:p w:rsidR="001802C3" w:rsidRDefault="001802C3" w:rsidP="001802C3"/>
    <w:p w:rsidR="001802C3" w:rsidRDefault="001802C3" w:rsidP="001802C3"/>
    <w:p w:rsidR="001802C3" w:rsidRDefault="001802C3" w:rsidP="001802C3"/>
    <w:p w:rsidR="001802C3" w:rsidRDefault="001802C3" w:rsidP="001802C3"/>
    <w:p w:rsidR="001802C3" w:rsidRDefault="001802C3" w:rsidP="001802C3"/>
    <w:p w:rsidR="001802C3" w:rsidRPr="001802C3" w:rsidRDefault="001802C3" w:rsidP="001802C3">
      <w:pPr>
        <w:jc w:val="center"/>
        <w:rPr>
          <w:b/>
        </w:rPr>
      </w:pPr>
      <w:r w:rsidRPr="001802C3">
        <w:rPr>
          <w:b/>
        </w:rPr>
        <w:lastRenderedPageBreak/>
        <w:t>Background</w:t>
      </w:r>
    </w:p>
    <w:p w:rsidR="001802C3" w:rsidRPr="001802C3" w:rsidRDefault="001802C3" w:rsidP="001802C3">
      <w:pPr>
        <w:rPr>
          <w:b/>
        </w:rPr>
      </w:pPr>
      <w:proofErr w:type="gramStart"/>
      <w:r w:rsidRPr="001802C3">
        <w:rPr>
          <w:b/>
        </w:rPr>
        <w:t>ESIP Task A.2.b.</w:t>
      </w:r>
      <w:proofErr w:type="gramEnd"/>
      <w:r w:rsidRPr="001802C3">
        <w:rPr>
          <w:b/>
        </w:rPr>
        <w:t xml:space="preserve"> - Building façade evaluation and maintenance.</w:t>
      </w:r>
    </w:p>
    <w:p w:rsidR="001802C3" w:rsidRDefault="001802C3" w:rsidP="001802C3">
      <w:proofErr w:type="gramStart"/>
      <w:r>
        <w:t>The City and County of San Francisco intents to develop a program to reduce risks to the general public and to enforce the existing requirements per SFBC Section 3401.2.</w:t>
      </w:r>
      <w:proofErr w:type="gramEnd"/>
      <w:r>
        <w:t xml:space="preserve"> The purpose of this work is this work to reduce what are significant earthquake hazards of falling façade materials caused by building drift, shaking, and from other causes of failure.</w:t>
      </w:r>
    </w:p>
    <w:p w:rsidR="001802C3" w:rsidRDefault="001802C3" w:rsidP="001802C3">
      <w:pPr>
        <w:rPr>
          <w:i/>
        </w:rPr>
      </w:pPr>
      <w:r w:rsidRPr="001802C3">
        <w:rPr>
          <w:b/>
        </w:rPr>
        <w:t>3401.2 Maintenance</w:t>
      </w:r>
      <w:r>
        <w:t xml:space="preserve">. </w:t>
      </w:r>
      <w:r w:rsidRPr="001802C3">
        <w:rPr>
          <w:i/>
        </w:rPr>
        <w:t xml:space="preserve">Buildings and structures and parts thereof, shall be maintained in </w:t>
      </w:r>
      <w:proofErr w:type="gramStart"/>
      <w:r w:rsidRPr="001802C3">
        <w:rPr>
          <w:i/>
        </w:rPr>
        <w:t>a</w:t>
      </w:r>
      <w:proofErr w:type="gramEnd"/>
      <w:r w:rsidRPr="001802C3">
        <w:rPr>
          <w:i/>
        </w:rPr>
        <w:t xml:space="preserve"> </w:t>
      </w:r>
      <w:proofErr w:type="spellStart"/>
      <w:r w:rsidRPr="001802C3">
        <w:rPr>
          <w:i/>
        </w:rPr>
        <w:t>a</w:t>
      </w:r>
      <w:proofErr w:type="spellEnd"/>
      <w:r w:rsidRPr="001802C3">
        <w:rPr>
          <w:i/>
        </w:rPr>
        <w:t xml:space="preserve"> safe and sanitary condition. Devices or safeguards which are required by this code shall be maintained in conformance with the code edition under which installed. The owner or the owner’s designated agent shall be responsible for the maintenance of buildings and structures. To determine compliance with this subsection, the building official shall have the authority to require the building or structure to be respected. The requirements of this chapter shall not provide the basis for removal or abrogation of the fire protection and the safety systems and devices in the existing structures.</w:t>
      </w:r>
    </w:p>
    <w:p w:rsidR="001802C3" w:rsidRDefault="001802C3" w:rsidP="001802C3">
      <w:pPr>
        <w:rPr>
          <w:i/>
        </w:rPr>
      </w:pPr>
      <w:bookmarkStart w:id="0" w:name="_GoBack"/>
      <w:bookmarkEnd w:id="0"/>
    </w:p>
    <w:p w:rsidR="001802C3" w:rsidRPr="001802C3" w:rsidRDefault="001802C3" w:rsidP="001802C3">
      <w:pPr>
        <w:pStyle w:val="NoSpacing"/>
        <w:jc w:val="center"/>
        <w:rPr>
          <w:rFonts w:cs="Times New Roman"/>
          <w:b/>
        </w:rPr>
      </w:pPr>
      <w:r w:rsidRPr="001802C3">
        <w:rPr>
          <w:rFonts w:cs="Times New Roman"/>
          <w:b/>
        </w:rPr>
        <w:t>Other jurisdictions with similar façade maintenance programs</w:t>
      </w:r>
    </w:p>
    <w:p w:rsidR="001802C3" w:rsidRPr="003E235B" w:rsidRDefault="001802C3" w:rsidP="001802C3">
      <w:pPr>
        <w:pStyle w:val="NoSpacing"/>
        <w:rPr>
          <w:rFonts w:ascii="Times New Roman" w:hAnsi="Times New Roman" w:cs="Times New Roman"/>
          <w:sz w:val="24"/>
          <w:szCs w:val="24"/>
        </w:rPr>
      </w:pPr>
    </w:p>
    <w:tbl>
      <w:tblPr>
        <w:tblStyle w:val="MediumShading1"/>
        <w:tblW w:w="0" w:type="auto"/>
        <w:tblLook w:val="04A0" w:firstRow="1" w:lastRow="0" w:firstColumn="1" w:lastColumn="0" w:noHBand="0" w:noVBand="1"/>
      </w:tblPr>
      <w:tblGrid>
        <w:gridCol w:w="2394"/>
        <w:gridCol w:w="2394"/>
        <w:gridCol w:w="2394"/>
        <w:gridCol w:w="2394"/>
      </w:tblGrid>
      <w:tr w:rsidR="001802C3" w:rsidRPr="003E235B" w:rsidTr="00A77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jc w:val="center"/>
              <w:rPr>
                <w:rFonts w:cs="Times New Roman"/>
              </w:rPr>
            </w:pPr>
            <w:r w:rsidRPr="003B4C98">
              <w:rPr>
                <w:rFonts w:cs="Times New Roman"/>
              </w:rPr>
              <w:t>Location</w:t>
            </w:r>
          </w:p>
        </w:tc>
        <w:tc>
          <w:tcPr>
            <w:tcW w:w="2394" w:type="dxa"/>
          </w:tcPr>
          <w:p w:rsidR="001802C3" w:rsidRPr="003B4C98" w:rsidRDefault="001802C3" w:rsidP="00A77773">
            <w:pPr>
              <w:pStyle w:val="No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3B4C98">
              <w:rPr>
                <w:rFonts w:cs="Times New Roman"/>
              </w:rPr>
              <w:t>Which Buildings</w:t>
            </w:r>
          </w:p>
        </w:tc>
        <w:tc>
          <w:tcPr>
            <w:tcW w:w="2394" w:type="dxa"/>
          </w:tcPr>
          <w:p w:rsidR="001802C3" w:rsidRPr="003B4C98" w:rsidRDefault="001802C3" w:rsidP="00A77773">
            <w:pPr>
              <w:pStyle w:val="No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3B4C98">
              <w:rPr>
                <w:rFonts w:cs="Times New Roman"/>
              </w:rPr>
              <w:t>Frequency</w:t>
            </w:r>
          </w:p>
        </w:tc>
        <w:tc>
          <w:tcPr>
            <w:tcW w:w="2394" w:type="dxa"/>
          </w:tcPr>
          <w:p w:rsidR="001802C3" w:rsidRPr="003B4C98" w:rsidRDefault="001802C3" w:rsidP="00A77773">
            <w:pPr>
              <w:pStyle w:val="NoSpacing"/>
              <w:jc w:val="center"/>
              <w:cnfStyle w:val="100000000000" w:firstRow="1" w:lastRow="0" w:firstColumn="0" w:lastColumn="0" w:oddVBand="0" w:evenVBand="0" w:oddHBand="0" w:evenHBand="0" w:firstRowFirstColumn="0" w:firstRowLastColumn="0" w:lastRowFirstColumn="0" w:lastRowLastColumn="0"/>
              <w:rPr>
                <w:rFonts w:cs="Times New Roman"/>
              </w:rPr>
            </w:pPr>
            <w:r w:rsidRPr="003B4C98">
              <w:rPr>
                <w:rFonts w:cs="Times New Roman"/>
              </w:rPr>
              <w:t>Subject Walls</w:t>
            </w:r>
          </w:p>
        </w:tc>
      </w:tr>
      <w:tr w:rsidR="001802C3" w:rsidRPr="003E235B" w:rsidTr="00A7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Boston, MA</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H &gt; 70’</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5 years (1 year if unoccupied)</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All walls</w:t>
            </w:r>
          </w:p>
        </w:tc>
      </w:tr>
      <w:tr w:rsidR="001802C3" w:rsidRPr="003E235B" w:rsidTr="00A77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Chicago, IL</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H &gt; 80’</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2 years (Critical exam every 4, 8, or 12 years)</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50% of walls, 100% of corners and all terra cotta</w:t>
            </w:r>
          </w:p>
        </w:tc>
      </w:tr>
      <w:tr w:rsidR="001802C3" w:rsidRPr="003E235B" w:rsidTr="00A7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Detroit, MI</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 xml:space="preserve">H </w:t>
            </w:r>
            <w:r w:rsidRPr="003B4C98">
              <w:rPr>
                <w:rFonts w:cs="Times New Roman"/>
                <w:u w:val="single"/>
              </w:rPr>
              <w:t>&gt;</w:t>
            </w:r>
            <w:r w:rsidRPr="003B4C98">
              <w:rPr>
                <w:rFonts w:cs="Times New Roman"/>
              </w:rPr>
              <w:t xml:space="preserve"> 5 Stories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Cornices and projections</w:t>
            </w:r>
          </w:p>
        </w:tc>
      </w:tr>
      <w:tr w:rsidR="001802C3" w:rsidRPr="003E235B" w:rsidTr="00A77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 xml:space="preserve">Columbus, OH </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 xml:space="preserve">Age </w:t>
            </w:r>
            <w:r w:rsidRPr="003B4C98">
              <w:rPr>
                <w:rFonts w:cs="Times New Roman"/>
                <w:u w:val="single"/>
              </w:rPr>
              <w:t>&gt;</w:t>
            </w:r>
            <w:r w:rsidRPr="003B4C98">
              <w:rPr>
                <w:rFonts w:cs="Times New Roman"/>
              </w:rPr>
              <w:t xml:space="preserve"> 20 years within 10’ of the PROW</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All walls</w:t>
            </w:r>
          </w:p>
        </w:tc>
      </w:tr>
      <w:tr w:rsidR="001802C3" w:rsidRPr="003E235B" w:rsidTr="00A7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Milwaukee, WI</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H &gt; 5 stories</w:t>
            </w:r>
          </w:p>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Age &gt; 15 years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All walls</w:t>
            </w:r>
          </w:p>
        </w:tc>
      </w:tr>
      <w:tr w:rsidR="001802C3" w:rsidRPr="003E235B" w:rsidTr="00A77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New York, NY</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 xml:space="preserve">H </w:t>
            </w:r>
            <w:r w:rsidRPr="003B4C98">
              <w:rPr>
                <w:rFonts w:cs="Times New Roman"/>
                <w:u w:val="single"/>
              </w:rPr>
              <w:t>&gt;</w:t>
            </w:r>
            <w:r w:rsidRPr="003B4C98">
              <w:rPr>
                <w:rFonts w:cs="Times New Roman"/>
              </w:rPr>
              <w:t xml:space="preserve"> 6 stories</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All walls (except within 12” of adjacent walls)</w:t>
            </w:r>
          </w:p>
        </w:tc>
      </w:tr>
      <w:tr w:rsidR="001802C3" w:rsidRPr="003E235B" w:rsidTr="00A7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Philadelphia, PA</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H &gt; 6 stories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 xml:space="preserve">All walls and appurtenances </w:t>
            </w:r>
          </w:p>
        </w:tc>
      </w:tr>
      <w:tr w:rsidR="001802C3" w:rsidRPr="003E235B" w:rsidTr="00A77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Pittsburgh, PA</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All buildings (per section 304)</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010000" w:firstRow="0" w:lastRow="0" w:firstColumn="0" w:lastColumn="0" w:oddVBand="0" w:evenVBand="0" w:oddHBand="0" w:evenHBand="1" w:firstRowFirstColumn="0" w:firstRowLastColumn="0" w:lastRowFirstColumn="0" w:lastRowLastColumn="0"/>
              <w:rPr>
                <w:rFonts w:cs="Times New Roman"/>
              </w:rPr>
            </w:pPr>
            <w:r w:rsidRPr="003B4C98">
              <w:rPr>
                <w:rFonts w:cs="Times New Roman"/>
              </w:rPr>
              <w:t>All walls</w:t>
            </w:r>
          </w:p>
        </w:tc>
      </w:tr>
      <w:tr w:rsidR="001802C3" w:rsidRPr="003E235B" w:rsidTr="00A777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1802C3" w:rsidRPr="003B4C98" w:rsidRDefault="001802C3" w:rsidP="00A77773">
            <w:pPr>
              <w:pStyle w:val="NoSpacing"/>
              <w:rPr>
                <w:rFonts w:cs="Times New Roman"/>
              </w:rPr>
            </w:pPr>
            <w:r w:rsidRPr="003B4C98">
              <w:rPr>
                <w:rFonts w:cs="Times New Roman"/>
              </w:rPr>
              <w:t>St. Louis, MO</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H &gt; 6 stories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5 years</w:t>
            </w:r>
          </w:p>
        </w:tc>
        <w:tc>
          <w:tcPr>
            <w:tcW w:w="2394" w:type="dxa"/>
          </w:tcPr>
          <w:p w:rsidR="001802C3" w:rsidRPr="003B4C98" w:rsidRDefault="001802C3" w:rsidP="00A77773">
            <w:pPr>
              <w:pStyle w:val="NoSpacing"/>
              <w:cnfStyle w:val="000000100000" w:firstRow="0" w:lastRow="0" w:firstColumn="0" w:lastColumn="0" w:oddVBand="0" w:evenVBand="0" w:oddHBand="1" w:evenHBand="0" w:firstRowFirstColumn="0" w:firstRowLastColumn="0" w:lastRowFirstColumn="0" w:lastRowLastColumn="0"/>
              <w:rPr>
                <w:rFonts w:cs="Times New Roman"/>
              </w:rPr>
            </w:pPr>
            <w:r w:rsidRPr="003B4C98">
              <w:rPr>
                <w:rFonts w:cs="Times New Roman"/>
              </w:rPr>
              <w:t xml:space="preserve">All walls </w:t>
            </w:r>
          </w:p>
        </w:tc>
      </w:tr>
    </w:tbl>
    <w:p w:rsidR="001802C3" w:rsidRPr="003B4C98" w:rsidRDefault="003B4C98" w:rsidP="001802C3">
      <w:pPr>
        <w:pStyle w:val="NoSpacing"/>
        <w:rPr>
          <w:rFonts w:cs="Times New Roman"/>
          <w:i/>
        </w:rPr>
      </w:pPr>
      <w:r w:rsidRPr="003B4C98">
        <w:rPr>
          <w:rFonts w:cs="Times New Roman"/>
          <w:i/>
        </w:rPr>
        <w:t xml:space="preserve">Source: </w:t>
      </w:r>
      <w:r w:rsidR="001802C3" w:rsidRPr="003B4C98">
        <w:rPr>
          <w:rFonts w:cs="Times New Roman"/>
          <w:i/>
        </w:rPr>
        <w:t>Information taken from Facility Engineering Associates 2010</w:t>
      </w:r>
    </w:p>
    <w:p w:rsidR="001802C3" w:rsidRPr="003B4C98" w:rsidRDefault="001802C3" w:rsidP="001802C3">
      <w:pPr>
        <w:pStyle w:val="NoSpacing"/>
        <w:rPr>
          <w:rFonts w:cs="Times New Roman"/>
          <w:i/>
        </w:rPr>
      </w:pPr>
    </w:p>
    <w:p w:rsidR="001802C3" w:rsidRPr="003B4C98" w:rsidRDefault="001802C3" w:rsidP="001802C3">
      <w:pPr>
        <w:pStyle w:val="NoSpacing"/>
        <w:rPr>
          <w:rFonts w:cs="Times New Roman"/>
        </w:rPr>
      </w:pPr>
      <w:r w:rsidRPr="003B4C98">
        <w:rPr>
          <w:rFonts w:cs="Times New Roman"/>
        </w:rPr>
        <w:t xml:space="preserve">Also see </w:t>
      </w:r>
      <w:hyperlink r:id="rId6" w:history="1">
        <w:r w:rsidRPr="003B4C98">
          <w:rPr>
            <w:rStyle w:val="Hyperlink"/>
            <w:rFonts w:cs="Times New Roman"/>
          </w:rPr>
          <w:t>www.facadeordinance.com</w:t>
        </w:r>
      </w:hyperlink>
      <w:r w:rsidRPr="003B4C98">
        <w:rPr>
          <w:rFonts w:cs="Times New Roman"/>
        </w:rPr>
        <w:t xml:space="preserve"> and </w:t>
      </w:r>
      <w:hyperlink r:id="rId7" w:history="1">
        <w:r w:rsidRPr="003B4C98">
          <w:rPr>
            <w:rStyle w:val="Hyperlink"/>
            <w:rFonts w:cs="Times New Roman"/>
          </w:rPr>
          <w:t>www.sfcapss.org</w:t>
        </w:r>
      </w:hyperlink>
      <w:r w:rsidRPr="003B4C98">
        <w:rPr>
          <w:rFonts w:cs="Times New Roman"/>
        </w:rPr>
        <w:t xml:space="preserve"> for additional information. </w:t>
      </w:r>
    </w:p>
    <w:p w:rsidR="001802C3" w:rsidRPr="001802C3" w:rsidRDefault="001802C3" w:rsidP="001802C3"/>
    <w:sectPr w:rsidR="001802C3" w:rsidRPr="00180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24A0"/>
    <w:multiLevelType w:val="hybridMultilevel"/>
    <w:tmpl w:val="8D3CD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CD564CE"/>
    <w:multiLevelType w:val="hybridMultilevel"/>
    <w:tmpl w:val="4BC894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C3"/>
    <w:rsid w:val="001802C3"/>
    <w:rsid w:val="003B4C98"/>
    <w:rsid w:val="005B5F8A"/>
    <w:rsid w:val="00CE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2C3"/>
    <w:pPr>
      <w:ind w:left="720"/>
      <w:contextualSpacing/>
    </w:pPr>
  </w:style>
  <w:style w:type="paragraph" w:styleId="NoSpacing">
    <w:name w:val="No Spacing"/>
    <w:uiPriority w:val="1"/>
    <w:qFormat/>
    <w:rsid w:val="001802C3"/>
    <w:pPr>
      <w:spacing w:after="0" w:line="240" w:lineRule="auto"/>
    </w:pPr>
  </w:style>
  <w:style w:type="table" w:styleId="MediumShading1">
    <w:name w:val="Medium Shading 1"/>
    <w:basedOn w:val="TableNormal"/>
    <w:uiPriority w:val="63"/>
    <w:rsid w:val="001802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180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2C3"/>
    <w:pPr>
      <w:ind w:left="720"/>
      <w:contextualSpacing/>
    </w:pPr>
  </w:style>
  <w:style w:type="paragraph" w:styleId="NoSpacing">
    <w:name w:val="No Spacing"/>
    <w:uiPriority w:val="1"/>
    <w:qFormat/>
    <w:rsid w:val="001802C3"/>
    <w:pPr>
      <w:spacing w:after="0" w:line="240" w:lineRule="auto"/>
    </w:pPr>
  </w:style>
  <w:style w:type="table" w:styleId="MediumShading1">
    <w:name w:val="Medium Shading 1"/>
    <w:basedOn w:val="TableNormal"/>
    <w:uiPriority w:val="63"/>
    <w:rsid w:val="001802C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180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fcap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adeordinanc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mhilt</dc:creator>
  <cp:lastModifiedBy>mhilt</cp:lastModifiedBy>
  <cp:revision>2</cp:revision>
  <dcterms:created xsi:type="dcterms:W3CDTF">2013-06-25T18:10:00Z</dcterms:created>
  <dcterms:modified xsi:type="dcterms:W3CDTF">2013-06-25T20:40:00Z</dcterms:modified>
</cp:coreProperties>
</file>